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176E56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Администрация </w:t>
      </w:r>
      <w:proofErr w:type="spellStart"/>
      <w:r w:rsidR="00176E56"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Киржеманского</w:t>
      </w:r>
      <w:proofErr w:type="spellEnd"/>
      <w:r w:rsidR="00176E56"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Большеигнатовского</w:t>
      </w:r>
      <w:proofErr w:type="spellEnd"/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района</w:t>
      </w:r>
      <w:r w:rsid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</w:t>
      </w:r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Республики  Мордовия</w:t>
      </w:r>
    </w:p>
    <w:p w:rsidR="00176E56" w:rsidRDefault="00176E56" w:rsidP="009374CD">
      <w:pPr>
        <w:pStyle w:val="2"/>
        <w:jc w:val="center"/>
        <w:rPr>
          <w:color w:val="000000" w:themeColor="text1"/>
          <w:sz w:val="32"/>
          <w:szCs w:val="32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9374CD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E56">
        <w:rPr>
          <w:rFonts w:ascii="Times New Roman" w:hAnsi="Times New Roman" w:cs="Times New Roman"/>
          <w:color w:val="000000" w:themeColor="text1"/>
          <w:sz w:val="28"/>
          <w:szCs w:val="28"/>
        </w:rPr>
        <w:t>от 24.10.2024 г.                                                                                      № 57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 xml:space="preserve">с. </w:t>
      </w:r>
      <w:proofErr w:type="spellStart"/>
      <w:r w:rsidR="00176E56">
        <w:rPr>
          <w:rFonts w:ascii="Times New Roman" w:hAnsi="Times New Roman" w:cs="Times New Roman"/>
          <w:color w:val="000000" w:themeColor="text1"/>
        </w:rPr>
        <w:t>Киржеманы</w:t>
      </w:r>
      <w:proofErr w:type="spellEnd"/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F6" w:rsidRDefault="00E678F6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о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9374CD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E678F6" w:rsidRDefault="009374CD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налоговой политики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="00176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</w:t>
      </w:r>
      <w:proofErr w:type="gramStart"/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</w:p>
    <w:p w:rsidR="00A96BF9" w:rsidRP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5F732F" w:rsidRPr="005F732F" w:rsidRDefault="00A96BF9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176E56">
        <w:rPr>
          <w:spacing w:val="1"/>
          <w:sz w:val="28"/>
          <w:szCs w:val="28"/>
        </w:rPr>
        <w:t xml:space="preserve">     </w:t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8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5F732F" w:rsidRPr="005F732F">
        <w:rPr>
          <w:spacing w:val="1"/>
          <w:sz w:val="28"/>
          <w:szCs w:val="28"/>
        </w:rPr>
        <w:t>  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proofErr w:type="spellStart"/>
      <w:r w:rsidR="00176E56">
        <w:rPr>
          <w:sz w:val="28"/>
          <w:szCs w:val="28"/>
        </w:rPr>
        <w:t>Киржеманского</w:t>
      </w:r>
      <w:proofErr w:type="spellEnd"/>
      <w:r w:rsidR="00176E56">
        <w:rPr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Республики Мордовия</w:t>
      </w:r>
      <w:r w:rsidR="00176E56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 xml:space="preserve">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176E56" w:rsidP="00176E56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1.</w:t>
      </w:r>
      <w:r w:rsidR="005F732F" w:rsidRPr="005F732F">
        <w:rPr>
          <w:spacing w:val="1"/>
          <w:sz w:val="28"/>
          <w:szCs w:val="28"/>
        </w:rPr>
        <w:t xml:space="preserve">Утвердить прилагаемые </w:t>
      </w:r>
      <w:r w:rsidR="00E678F6">
        <w:rPr>
          <w:spacing w:val="1"/>
          <w:sz w:val="28"/>
          <w:szCs w:val="28"/>
        </w:rPr>
        <w:t>о</w:t>
      </w:r>
      <w:r w:rsidR="005F732F" w:rsidRPr="005F732F">
        <w:rPr>
          <w:spacing w:val="1"/>
          <w:sz w:val="28"/>
          <w:szCs w:val="28"/>
        </w:rPr>
        <w:t xml:space="preserve">сновные направления бюджетной и налоговой политики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="005F732F" w:rsidRPr="005F732F">
        <w:rPr>
          <w:spacing w:val="1"/>
          <w:sz w:val="28"/>
          <w:szCs w:val="28"/>
        </w:rPr>
        <w:t xml:space="preserve"> на 202</w:t>
      </w:r>
      <w:r w:rsidR="003014A8">
        <w:rPr>
          <w:spacing w:val="1"/>
          <w:sz w:val="28"/>
          <w:szCs w:val="28"/>
        </w:rPr>
        <w:t>5</w:t>
      </w:r>
      <w:r w:rsidR="005F732F" w:rsidRPr="005F732F">
        <w:rPr>
          <w:spacing w:val="1"/>
          <w:sz w:val="28"/>
          <w:szCs w:val="28"/>
        </w:rPr>
        <w:t xml:space="preserve"> год и на плановый период 202</w:t>
      </w:r>
      <w:r w:rsidR="003014A8">
        <w:rPr>
          <w:spacing w:val="1"/>
          <w:sz w:val="28"/>
          <w:szCs w:val="28"/>
        </w:rPr>
        <w:t>6</w:t>
      </w:r>
      <w:r w:rsidR="005F732F" w:rsidRPr="005F732F">
        <w:rPr>
          <w:spacing w:val="1"/>
          <w:sz w:val="28"/>
          <w:szCs w:val="28"/>
        </w:rPr>
        <w:t xml:space="preserve"> и 202</w:t>
      </w:r>
      <w:r w:rsidR="003014A8">
        <w:rPr>
          <w:spacing w:val="1"/>
          <w:sz w:val="28"/>
          <w:szCs w:val="28"/>
        </w:rPr>
        <w:t>7</w:t>
      </w:r>
      <w:r w:rsidR="005F732F" w:rsidRPr="005F732F">
        <w:rPr>
          <w:spacing w:val="1"/>
          <w:sz w:val="28"/>
          <w:szCs w:val="28"/>
        </w:rPr>
        <w:t xml:space="preserve"> годов.</w:t>
      </w:r>
    </w:p>
    <w:p w:rsidR="005F732F" w:rsidRDefault="00280C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</w:t>
      </w:r>
      <w:r w:rsidR="00E80889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176E56" w:rsidRDefault="00176E56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И.о</w:t>
      </w:r>
      <w:proofErr w:type="gramStart"/>
      <w:r>
        <w:rPr>
          <w:spacing w:val="1"/>
          <w:sz w:val="28"/>
          <w:szCs w:val="28"/>
        </w:rPr>
        <w:t>.г</w:t>
      </w:r>
      <w:proofErr w:type="gramEnd"/>
      <w:r>
        <w:rPr>
          <w:spacing w:val="1"/>
          <w:sz w:val="28"/>
          <w:szCs w:val="28"/>
        </w:rPr>
        <w:t>лавы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Киржеманского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</w:t>
      </w:r>
    </w:p>
    <w:p w:rsidR="005F732F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Большеигнатовского</w:t>
      </w:r>
      <w:proofErr w:type="spellEnd"/>
      <w:r w:rsidR="00176E56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муниципального района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Республики Мордовия                        </w:t>
      </w:r>
      <w:r w:rsidR="00176E56">
        <w:rPr>
          <w:spacing w:val="1"/>
          <w:sz w:val="28"/>
          <w:szCs w:val="28"/>
        </w:rPr>
        <w:t xml:space="preserve">                                  </w:t>
      </w:r>
      <w:proofErr w:type="spellStart"/>
      <w:r w:rsidR="00176E56">
        <w:rPr>
          <w:spacing w:val="1"/>
          <w:sz w:val="28"/>
          <w:szCs w:val="28"/>
        </w:rPr>
        <w:t>О.Н.Старушенкова</w:t>
      </w:r>
      <w:proofErr w:type="spellEnd"/>
    </w:p>
    <w:p w:rsidR="001364F5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76E56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678F6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Утвержденные</w:t>
      </w:r>
    </w:p>
    <w:p w:rsidR="00176E56" w:rsidRDefault="001B639C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9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5F732F" w:rsidRPr="00320B8C" w:rsidRDefault="00176E56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Киржеманского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4F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5F732F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24.10.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3014A8">
        <w:rPr>
          <w:rFonts w:ascii="Times New Roman" w:hAnsi="Times New Roman" w:cs="Times New Roman"/>
          <w:sz w:val="24"/>
          <w:szCs w:val="24"/>
        </w:rPr>
        <w:t>4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57</w:t>
      </w:r>
      <w:r w:rsidR="00320B8C" w:rsidRPr="00320B8C">
        <w:rPr>
          <w:rFonts w:ascii="Times New Roman" w:hAnsi="Times New Roman" w:cs="Times New Roman"/>
          <w:sz w:val="24"/>
          <w:szCs w:val="24"/>
        </w:rPr>
        <w:t xml:space="preserve"> </w:t>
      </w:r>
      <w:r w:rsidR="00941F88">
        <w:rPr>
          <w:rFonts w:ascii="Times New Roman" w:hAnsi="Times New Roman" w:cs="Times New Roman"/>
          <w:sz w:val="24"/>
          <w:szCs w:val="24"/>
        </w:rPr>
        <w:t xml:space="preserve">     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утверждении основных направлений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бюджетной</w:t>
      </w:r>
      <w:proofErr w:type="gramEnd"/>
    </w:p>
    <w:p w:rsidR="00176E5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налоговой политики </w:t>
      </w:r>
      <w:proofErr w:type="spellStart"/>
      <w:r w:rsidR="00176E5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Киржеманского</w:t>
      </w:r>
      <w:proofErr w:type="spellEnd"/>
      <w:r w:rsidR="00176E5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="00176E5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сельского</w:t>
      </w:r>
      <w:proofErr w:type="gramEnd"/>
    </w:p>
    <w:p w:rsidR="00E678F6" w:rsidRPr="00E678F6" w:rsidRDefault="00176E5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 </w:t>
      </w:r>
      <w:proofErr w:type="spellStart"/>
      <w:r w:rsidR="00E678F6"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Большеигнатовского</w:t>
      </w:r>
      <w:proofErr w:type="spellEnd"/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proofErr w:type="gramEnd"/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годов»</w:t>
      </w:r>
    </w:p>
    <w:p w:rsidR="005F732F" w:rsidRPr="00320B8C" w:rsidRDefault="005F732F" w:rsidP="00E678F6">
      <w:pPr>
        <w:pStyle w:val="formattext"/>
        <w:shd w:val="clear" w:color="auto" w:fill="FFFFFF"/>
        <w:spacing w:before="0" w:beforeAutospacing="0" w:after="0" w:afterAutospacing="0" w:line="252" w:lineRule="atLeast"/>
        <w:ind w:left="4253"/>
        <w:jc w:val="right"/>
        <w:textAlignment w:val="baseline"/>
        <w:rPr>
          <w:spacing w:val="1"/>
        </w:rPr>
      </w:pPr>
    </w:p>
    <w:p w:rsidR="005646F1" w:rsidRPr="00176E56" w:rsidRDefault="00A96BF9" w:rsidP="00176E56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6BF9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proofErr w:type="gramStart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Основные направления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бюджетной и налоговой политики </w:t>
      </w:r>
      <w:proofErr w:type="spellStart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Большеигнатовского</w:t>
      </w:r>
      <w:proofErr w:type="spellEnd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>Киржеманского</w:t>
      </w:r>
      <w:proofErr w:type="spellEnd"/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>Большеигнатовского</w:t>
      </w:r>
      <w:proofErr w:type="spellEnd"/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 района Республики Мордовия на 202</w:t>
      </w:r>
      <w:r w:rsidR="003014A8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5 год и на плановый период 2026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202</w:t>
      </w:r>
      <w:r w:rsidR="003014A8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proofErr w:type="spellStart"/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>Киржеманского</w:t>
      </w:r>
      <w:proofErr w:type="spellEnd"/>
      <w:r w:rsidR="001B63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</w:t>
      </w:r>
      <w:bookmarkStart w:id="0" w:name="_GoBack"/>
      <w:bookmarkEnd w:id="0"/>
      <w:proofErr w:type="spellStart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Большеигнатовского</w:t>
      </w:r>
      <w:proofErr w:type="spellEnd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муниципального района Республики Мордовия в предшествующий период</w:t>
      </w:r>
      <w:proofErr w:type="gramEnd"/>
    </w:p>
    <w:p w:rsidR="00E80889" w:rsidRPr="000630CA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 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 xml:space="preserve"> годов является определение условий, используемых при </w:t>
      </w:r>
      <w:r w:rsidRPr="005646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</w:t>
      </w:r>
      <w:r w:rsidR="003014A8">
        <w:rPr>
          <w:rFonts w:ascii="Times New Roman" w:hAnsi="Times New Roman" w:cs="Times New Roman"/>
          <w:sz w:val="28"/>
          <w:szCs w:val="28"/>
        </w:rPr>
        <w:t>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годов, подходов к его формированию, основных характеристик 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- 202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годов.</w:t>
      </w:r>
    </w:p>
    <w:p w:rsidR="00E5533C" w:rsidRPr="000630CA" w:rsidRDefault="00E5533C" w:rsidP="00A96BF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3014A8" w:rsidP="00176E56">
      <w:pPr>
        <w:widowControl w:val="0"/>
        <w:autoSpaceDE w:val="0"/>
        <w:autoSpaceDN w:val="0"/>
        <w:spacing w:after="0" w:line="250" w:lineRule="exact"/>
        <w:ind w:right="628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бюджетной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proofErr w:type="spellStart"/>
      <w:r w:rsidR="00176E56" w:rsidRPr="00176E56">
        <w:rPr>
          <w:rFonts w:ascii="Times New Roman" w:hAnsi="Times New Roman"/>
          <w:b/>
          <w:sz w:val="28"/>
          <w:szCs w:val="28"/>
        </w:rPr>
        <w:t>Киржеманского</w:t>
      </w:r>
      <w:proofErr w:type="spellEnd"/>
      <w:r w:rsidR="00176E56" w:rsidRPr="00176E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76E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r w:rsidR="00176E56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1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2025 год и на плановый период 2026 и 2027 годов сохранит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преемственность бюджетной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политики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предыдущих периодов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 ориентирована в первую очередь на реализацию мер по обеспечению устойчивости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сбалансированности бюджетной системы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района, рациональное и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эффективное</w:t>
      </w:r>
      <w:proofErr w:type="gram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имеющихся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7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       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В предстоящем периоде основными направлениями бюджетной политики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являются:</w:t>
      </w:r>
    </w:p>
    <w:p w:rsidR="003014A8" w:rsidRDefault="003014A8" w:rsidP="003014A8">
      <w:pPr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устойчивости,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самостоятельности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176E56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за счет:</w:t>
      </w:r>
    </w:p>
    <w:p w:rsidR="003014A8" w:rsidRPr="003014A8" w:rsidRDefault="003014A8" w:rsidP="003014A8">
      <w:pPr>
        <w:widowControl w:val="0"/>
        <w:tabs>
          <w:tab w:val="left" w:pos="0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расширения</w:t>
      </w:r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="00176E56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proofErr w:type="spellStart"/>
      <w:r w:rsidR="00176E56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52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минимизации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рисков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несбалан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>сированности сельского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внешнего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санкционного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давления;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приоритизации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расходов исходя из необходимости достижения национальных целей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2B575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2B575B" w:rsidRPr="002B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формирования бюджетных параметров исходя из необходимости исполнения в полном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объеме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действующих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 принятия новых расходных обязательств с учетом их социально-экономической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значимости и обеспеченности источниками финансирования, ограничения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непервоочередных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(необязательных)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расходов;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2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дебиторской и кредиторской задолженности и проведения мероприятий по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недопущению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возникновения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роста;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управления бюджетными ресурсами, в том числе за 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мероприятий: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региональных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внебюджетных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источников,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первую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наиболее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софинансирования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стратегической и операционной эффективности бюджетных расходов путем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 совершенствования нормативных правовых актов и методической базы в сфере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разработки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программ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4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6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системного</w:t>
      </w:r>
      <w:r w:rsidR="003014A8" w:rsidRPr="003014A8">
        <w:rPr>
          <w:rFonts w:ascii="Times New Roman" w:eastAsia="Microsoft Sans Serif" w:hAnsi="Times New Roman" w:cs="Times New Roman"/>
          <w:spacing w:val="-5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ценностей, принципов и инструментов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бережливого управления;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направление</w:t>
      </w:r>
      <w:r w:rsidR="003014A8" w:rsidRPr="003014A8">
        <w:rPr>
          <w:rFonts w:ascii="Times New Roman" w:eastAsia="Microsoft Sans Serif" w:hAnsi="Times New Roman" w:cs="Times New Roman"/>
          <w:spacing w:val="-1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инвестиционных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="003014A8" w:rsidRPr="003014A8">
        <w:rPr>
          <w:rFonts w:ascii="Times New Roman" w:eastAsia="Microsoft Sans Serif" w:hAnsi="Times New Roman" w:cs="Times New Roman"/>
          <w:spacing w:val="-1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первую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завершение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переходящим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объектам строительства, реконструкции, капитального ремонта муниципальной собственности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proofErr w:type="spellStart"/>
      <w:r w:rsidR="002B575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proofErr w:type="spellEnd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 района Республики Мордовия, усиление контроля за сроками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качеством разрабатываемой проектно-сметной документации и выполнением 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proofErr w:type="gramEnd"/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безусловным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применением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законодательно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установленных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штрафных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санкций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неисполнение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условий;</w:t>
      </w:r>
    </w:p>
    <w:p w:rsidR="003014A8" w:rsidRPr="003014A8" w:rsidRDefault="00CB4040" w:rsidP="003014A8">
      <w:pPr>
        <w:widowControl w:val="0"/>
        <w:autoSpaceDE w:val="0"/>
        <w:autoSpaceDN w:val="0"/>
        <w:spacing w:before="7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процессов пла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нирования и исполнения сельского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6458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Мордовия, в том числе за счет проведения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качества финансового менеджмента, совершенствования системы обоснования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ассигнований,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казначейского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обслуживания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6458">
        <w:rPr>
          <w:rFonts w:ascii="Times New Roman" w:eastAsia="Microsoft Sans Serif" w:hAnsi="Times New Roman" w:cs="Times New Roman"/>
          <w:spacing w:val="-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совершенствование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централизации.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конкурентными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способами,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обеспечивающими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наименьшие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затраты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сохранении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характеристик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приобретаемых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заключения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(контрактов,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недобросовестными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поставщиками (подрядчиками,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исполнителями);</w:t>
      </w:r>
    </w:p>
    <w:p w:rsidR="003014A8" w:rsidRPr="003014A8" w:rsidRDefault="009B6458" w:rsidP="003014A8">
      <w:pPr>
        <w:widowControl w:val="0"/>
        <w:autoSpaceDE w:val="0"/>
        <w:autoSpaceDN w:val="0"/>
        <w:spacing w:before="8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высвобождение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 недостаточно эффективно используемых бюджетных средств,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перенаправления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задач,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перераспределение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экономии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бюджетных средств, образовавшейся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при заключении муниципальных контрактов (контрактов,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 внутреннего муниципального финансового контроля в соответствии 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внутреннего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(муниципального)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контроля, утвержденными Правительством Российской Федерации;</w:t>
      </w:r>
    </w:p>
    <w:p w:rsidR="003014A8" w:rsidRPr="003014A8" w:rsidRDefault="009B6458" w:rsidP="009B645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усиление</w:t>
      </w:r>
      <w:r w:rsidR="003014A8" w:rsidRPr="003014A8">
        <w:rPr>
          <w:rFonts w:ascii="Times New Roman" w:eastAsia="Microsoft Sans Serif" w:hAnsi="Times New Roman" w:cs="Times New Roman"/>
          <w:spacing w:val="107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контроля  </w:t>
      </w:r>
      <w:r w:rsidR="003014A8" w:rsidRPr="003014A8">
        <w:rPr>
          <w:rFonts w:ascii="Times New Roman" w:eastAsia="Microsoft Sans Serif" w:hAnsi="Times New Roman" w:cs="Times New Roman"/>
          <w:spacing w:val="4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эффективностью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использования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бюджетных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средств  </w:t>
      </w:r>
      <w:r w:rsidR="003014A8" w:rsidRPr="003014A8">
        <w:rPr>
          <w:rFonts w:ascii="Times New Roman" w:eastAsia="Microsoft Sans Serif" w:hAnsi="Times New Roman" w:cs="Times New Roman"/>
          <w:spacing w:val="4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м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имущества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достоверностью отчетности о результатах реализации муниципальных программ 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выполнением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задания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муниципальными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учреждениями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 прозрачности и открытости муниципальных финансов, в том числе за счет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публикации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официальных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сайтах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страницах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актуальной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связанной с форми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рованием и исполнением сельского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2D7E02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Мордовия, повышение качества "Бюджета для граждан", представление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актуализация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материалов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едином</w:t>
        </w:r>
        <w:r w:rsidR="003014A8" w:rsidRPr="002D7E02">
          <w:rPr>
            <w:rFonts w:ascii="Times New Roman" w:eastAsia="Microsoft Sans Serif" w:hAnsi="Times New Roman" w:cs="Times New Roman"/>
            <w:spacing w:val="1"/>
            <w:sz w:val="28"/>
            <w:szCs w:val="28"/>
          </w:rPr>
          <w:t xml:space="preserve"> </w:t>
        </w:r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портале</w:t>
        </w:r>
      </w:hyperlink>
      <w:r w:rsidR="003014A8"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1" w:history="1"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официальном</w:t>
        </w:r>
        <w:r w:rsidR="003014A8" w:rsidRPr="002D7E02">
          <w:rPr>
            <w:rFonts w:ascii="Times New Roman" w:eastAsia="Microsoft Sans Serif" w:hAnsi="Times New Roman" w:cs="Times New Roman"/>
            <w:spacing w:val="1"/>
            <w:sz w:val="28"/>
            <w:szCs w:val="28"/>
          </w:rPr>
          <w:t xml:space="preserve"> </w:t>
        </w:r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сайте</w:t>
        </w:r>
      </w:hyperlink>
      <w:r w:rsidR="003014A8"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размещения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proofErr w:type="gram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учреждений;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spacing w:before="7" w:after="0" w:line="240" w:lineRule="auto"/>
        <w:ind w:left="100" w:right="318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взаимоотношений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бюджетом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="009B6458"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proofErr w:type="gramEnd"/>
      <w:r w:rsidRPr="003014A8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3014A8" w:rsidRPr="003014A8" w:rsidRDefault="009B645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показателей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соглашениями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местному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оздоровлению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5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активное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участие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проектов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государственных программ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2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содействие в обеспечении сбалансированности и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финансовой устойчивости 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стимулов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наращивания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управления муниципальными финансами, снижение рисков неисполнения первоочередных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социально-значимых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обязательств;</w:t>
      </w:r>
    </w:p>
    <w:p w:rsidR="003014A8" w:rsidRPr="003014A8" w:rsidRDefault="00881F95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мер,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направленных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оптимизацию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ограничение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дефицита;</w:t>
      </w:r>
    </w:p>
    <w:p w:rsidR="003014A8" w:rsidRPr="003014A8" w:rsidRDefault="00B71A7C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предсказуемых,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прозрачных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комфортных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финансовой помощи из районного бюджета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 своевре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менного ее доведения до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района Республики Мордовия, а также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контроля за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эффективным расходованием 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межбюджетных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трансфертов;</w:t>
      </w:r>
    </w:p>
    <w:p w:rsidR="003014A8" w:rsidRPr="003014A8" w:rsidRDefault="00B71A7C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создание механизмов, позволяющих при предоставлении межбюджетных трансфертов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усилить выравнивающий эффект, увеличить объемы дотаций на выравнивание бюджетной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одновременным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сокращением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количества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объема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предоставляемых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межбюджетных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трансфертов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увеличить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трансфертов,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распределяемых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решением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депутатов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бюджете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Мордовия;</w:t>
      </w:r>
      <w:proofErr w:type="gramEnd"/>
    </w:p>
    <w:p w:rsidR="003014A8" w:rsidRPr="003014A8" w:rsidRDefault="00B71A7C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укреплению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требований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2" w:history="1">
        <w:r w:rsidR="003014A8" w:rsidRPr="00881F95">
          <w:rPr>
            <w:rFonts w:ascii="Times New Roman" w:eastAsia="Microsoft Sans Serif" w:hAnsi="Times New Roman" w:cs="Times New Roman"/>
            <w:sz w:val="28"/>
            <w:szCs w:val="28"/>
          </w:rPr>
          <w:t>бюджетного</w:t>
        </w:r>
        <w:r w:rsidR="003014A8" w:rsidRPr="00881F95">
          <w:rPr>
            <w:rFonts w:ascii="Times New Roman" w:eastAsia="Microsoft Sans Serif" w:hAnsi="Times New Roman" w:cs="Times New Roman"/>
            <w:spacing w:val="1"/>
            <w:sz w:val="28"/>
            <w:szCs w:val="28"/>
          </w:rPr>
          <w:t xml:space="preserve"> </w:t>
        </w:r>
        <w:r w:rsidR="003014A8" w:rsidRPr="00881F95">
          <w:rPr>
            <w:rFonts w:ascii="Times New Roman" w:eastAsia="Microsoft Sans Serif" w:hAnsi="Times New Roman" w:cs="Times New Roman"/>
            <w:sz w:val="28"/>
            <w:szCs w:val="28"/>
          </w:rPr>
          <w:t>законодательства</w:t>
        </w:r>
      </w:hyperlink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17"/>
        </w:tabs>
        <w:autoSpaceDE w:val="0"/>
        <w:autoSpaceDN w:val="0"/>
        <w:spacing w:before="3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безопасности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ресурсов,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значимых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объектов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критической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инфраструктуры,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стимулирование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импортозамещения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программно-аппаратных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комплексов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защиты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199"/>
        </w:tabs>
        <w:autoSpaceDE w:val="0"/>
        <w:autoSpaceDN w:val="0"/>
        <w:spacing w:before="4" w:after="0" w:line="240" w:lineRule="auto"/>
        <w:ind w:left="100" w:right="319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культуры,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предполагающей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гражданами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решений.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3014A8" w:rsidP="00881F95">
      <w:pPr>
        <w:widowControl w:val="0"/>
        <w:autoSpaceDE w:val="0"/>
        <w:autoSpaceDN w:val="0"/>
        <w:spacing w:after="0" w:line="250" w:lineRule="exact"/>
        <w:ind w:right="62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proofErr w:type="spellStart"/>
      <w:r w:rsidR="00881F95" w:rsidRPr="00881F95">
        <w:rPr>
          <w:rFonts w:ascii="Times New Roman" w:hAnsi="Times New Roman"/>
          <w:b/>
          <w:sz w:val="28"/>
          <w:szCs w:val="28"/>
        </w:rPr>
        <w:t>Киржеманского</w:t>
      </w:r>
      <w:proofErr w:type="spellEnd"/>
      <w:r w:rsidR="00881F95" w:rsidRPr="00881F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81F95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proofErr w:type="spellStart"/>
      <w:r w:rsidR="00B71A7C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r w:rsidR="00881F95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1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C1005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5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обеспечит преемственность основных целей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 в предыдущие годы, а также будет направлена на обеспечение поступления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55271"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доходных</w:t>
      </w:r>
      <w:proofErr w:type="gramEnd"/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 запланированных объемах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 мобилизации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дополнительных доходов.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81F95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среднесрочной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перспективе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основываться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направлениях: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стабильных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предсказуемых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spacing w:before="1" w:after="0" w:line="240" w:lineRule="auto"/>
        <w:ind w:left="100" w:right="315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 xml:space="preserve">рассмотрение предложений по изменению </w:t>
      </w:r>
      <w:hyperlink r:id="rId13" w:history="1">
        <w:r w:rsidRPr="00881F95">
          <w:rPr>
            <w:rFonts w:ascii="Times New Roman" w:eastAsia="Microsoft Sans Serif" w:hAnsi="Times New Roman" w:cs="Times New Roman"/>
            <w:sz w:val="28"/>
            <w:szCs w:val="28"/>
          </w:rPr>
          <w:t>налогового законодательства</w:t>
        </w:r>
      </w:hyperlink>
      <w:r w:rsidRP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 позиции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справедливой налоговой нагрузки, создания равных условий, способствующих добросовестной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конкуренции, обеспечения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 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spacing w:before="3" w:after="0" w:line="240" w:lineRule="auto"/>
        <w:ind w:left="100" w:right="320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государственная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поддержка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отраслей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экономики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66"/>
        </w:tabs>
        <w:autoSpaceDE w:val="0"/>
        <w:autoSpaceDN w:val="0"/>
        <w:spacing w:before="2" w:after="0" w:line="240" w:lineRule="auto"/>
        <w:ind w:left="100"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стимулирования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деловой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активности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районе,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инвестиций,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инновационных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уровня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главных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администраторов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прогнозирование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7754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D9775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D69A3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и выполнение в полном объеме утвержденных годовых назначений 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активизация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претензионно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>-исковой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52"/>
        </w:tabs>
        <w:autoSpaceDE w:val="0"/>
        <w:autoSpaceDN w:val="0"/>
        <w:spacing w:before="4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продолжение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обоснованности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 отмена неэффективных и невостребованных льгот. В 2025 - 2027 годах продолжится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проведению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оценки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7754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D9775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отмене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неэффективных</w:t>
      </w:r>
      <w:r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будут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сохранены подходы к установлению налоговых льгот при условии положительной оценки их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эффективности.</w:t>
      </w:r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97754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="00D9775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на 2025 год и на плановый период 2026 и 2027 годов формируются 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 внесения и планируемых к принятию изменений в налоговую систему, основанных на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принципах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справедливости,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стабильности,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должны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учтены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интересы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государства.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Масштабная модернизация налоговой системы, проведенная на федеральном уровне,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себя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направления:</w:t>
      </w:r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налога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лиц: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пятиступенчатой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шкалы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зависимости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вида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полученного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периоде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(доходы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13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15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 до 20 млн. рублей - 18 процентов, от 20 до 50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 рублей - 20 процентов и от 50 млн. рублей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22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процента);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размеров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стандартных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вычетов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последующих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(за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2800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третьего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6000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рублей);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распространение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выполнивших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нормативы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испытаний (тестов) комплекса "Готов к труду и обороне" и прошедших диспансеризацию 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18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период;</w:t>
      </w:r>
    </w:p>
    <w:p w:rsidR="003014A8" w:rsidRPr="003014A8" w:rsidRDefault="008B52A1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которого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применяются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вычеты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350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рублей;</w:t>
      </w:r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ежегодной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работающим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родителям,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имеющим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двух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более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(семейная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выплата),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среднедушевого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семьи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превышает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1,5-кратную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прожиточного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минимума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 душу населения, установленную в субъекте Российской Федерации по месту жительства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(пребывания)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фактического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заявителя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целью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эффективной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 ставки для указанной категории в 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6 процентов;</w:t>
      </w:r>
      <w:proofErr w:type="gramEnd"/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(далее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УСН):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со 112,5 млн. рублей до 337,5 млн. рублей величины предельного 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целях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итогам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девяти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месяцев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года,</w:t>
      </w:r>
      <w:r w:rsidR="003014A8"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предшествующего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переходу;</w:t>
      </w:r>
    </w:p>
    <w:p w:rsidR="003014A8" w:rsidRPr="003014A8" w:rsidRDefault="008B52A1" w:rsidP="008B52A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средней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сотрудников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100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130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человек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без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возможности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превышения;</w:t>
      </w:r>
    </w:p>
    <w:p w:rsidR="008B52A1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pacing w:val="1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 млн. рублей до 450 млн. рублей с возможностью индексации на коэффициент-дефлятор;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порога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остаточной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стоимости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основных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150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возможностью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индексации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возможности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повышенных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8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нарушении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лимитов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численности;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обязанности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уплате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совокупных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доходах более 60 млн. рублей в год.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 этом налогоплательщику предоставляется выбор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 НДС в размере 20 процентов и право на вычет либо в размере 5 процентов без права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250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рублей)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7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права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 млн. рублей), до 1 января 2025 г. по общему правилу налогоплательщики на УСН не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признавались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плательщиками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окончание срока действия нормы о налоговых каникул (право субъектов Российской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начинающих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патентную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налогообложения, осуществляющих предпринимательскую деятельность в производственной,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(или)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научной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сферах,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бытовых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населению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предоставлению</w:t>
      </w:r>
      <w:r w:rsidR="003014A8"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временного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(действие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нормы</w:t>
      </w:r>
      <w:r w:rsidR="003014A8"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января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2025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г.).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 региональном уровне также проведена серьезная работа по настройке </w:t>
      </w:r>
      <w:hyperlink r:id="rId14" w:history="1">
        <w:r w:rsidRPr="00D97754">
          <w:rPr>
            <w:rFonts w:ascii="Times New Roman" w:eastAsia="Microsoft Sans Serif" w:hAnsi="Times New Roman" w:cs="Times New Roman"/>
            <w:sz w:val="28"/>
            <w:szCs w:val="28"/>
          </w:rPr>
          <w:t>налогового</w:t>
        </w:r>
      </w:hyperlink>
      <w:r w:rsidRPr="00D9775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5" w:history="1">
        <w:r w:rsidRPr="00D97754">
          <w:rPr>
            <w:rFonts w:ascii="Times New Roman" w:eastAsia="Microsoft Sans Serif" w:hAnsi="Times New Roman" w:cs="Times New Roman"/>
            <w:sz w:val="28"/>
            <w:szCs w:val="28"/>
          </w:rPr>
          <w:t>законодательства</w:t>
        </w:r>
        <w:r w:rsidRPr="00D97754">
          <w:rPr>
            <w:rFonts w:ascii="Times New Roman" w:eastAsia="Microsoft Sans Serif" w:hAnsi="Times New Roman" w:cs="Times New Roman"/>
            <w:spacing w:val="-10"/>
            <w:sz w:val="28"/>
            <w:szCs w:val="28"/>
          </w:rPr>
          <w:t xml:space="preserve"> </w:t>
        </w:r>
      </w:hyperlink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ряд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существенных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изменений,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которые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коснутся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непосредственно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8B52A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района:</w:t>
      </w:r>
    </w:p>
    <w:p w:rsidR="003014A8" w:rsidRPr="003014A8" w:rsidRDefault="003014A8" w:rsidP="003014A8">
      <w:pPr>
        <w:widowControl w:val="0"/>
        <w:numPr>
          <w:ilvl w:val="0"/>
          <w:numId w:val="9"/>
        </w:numPr>
        <w:tabs>
          <w:tab w:val="left" w:pos="1079"/>
        </w:tabs>
        <w:autoSpaceDE w:val="0"/>
        <w:autoSpaceDN w:val="0"/>
        <w:spacing w:before="3" w:after="0" w:line="240" w:lineRule="auto"/>
        <w:ind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в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предпринимательства,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увеличения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республику предусмотрено продление периода действия максимально сниженных 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(1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налогообложения являются доходы;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5 процентов - в случае, если объектом налогообложения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уменьшенные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 предпринимателей, впервые зарегистрированных на территории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связи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переменой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нахождения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(места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жительства)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2026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включительно.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9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Кроме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того,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закрепления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республике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продлен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срок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указанных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пониженных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пяти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последовательных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периодов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 зарегистрированных в период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2022 - 2026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Дополнительно</w:t>
      </w:r>
      <w:r w:rsidRPr="003014A8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прорабатываются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вопросы: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установления ежегодной индексации размера потенциально возможного к получению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предпринимателями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патентной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Результатом проводимой налоговой политики в среднесрочной перспективе должны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стать рост налоговых и неналоговых поступлений, рост инвестиций, создание новых рабочих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следствие,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валового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продукта.</w:t>
      </w:r>
    </w:p>
    <w:p w:rsidR="00E5533C" w:rsidRPr="003014A8" w:rsidRDefault="00E5533C" w:rsidP="003014A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sectPr w:rsidR="00E5533C" w:rsidRPr="003014A8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E3"/>
    <w:multiLevelType w:val="hybridMultilevel"/>
    <w:tmpl w:val="9B7A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3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5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311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1239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157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075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3993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4911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5829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6747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7665" w:hanging="311"/>
      </w:pPr>
      <w:rPr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BF9"/>
    <w:rsid w:val="0005062A"/>
    <w:rsid w:val="00051756"/>
    <w:rsid w:val="00057938"/>
    <w:rsid w:val="000630CA"/>
    <w:rsid w:val="00094EF1"/>
    <w:rsid w:val="000C4952"/>
    <w:rsid w:val="000F3A35"/>
    <w:rsid w:val="00130ABF"/>
    <w:rsid w:val="001364F5"/>
    <w:rsid w:val="00146BEB"/>
    <w:rsid w:val="001471F6"/>
    <w:rsid w:val="00174FC0"/>
    <w:rsid w:val="00176E56"/>
    <w:rsid w:val="00177784"/>
    <w:rsid w:val="001B639C"/>
    <w:rsid w:val="001D6486"/>
    <w:rsid w:val="001E2015"/>
    <w:rsid w:val="00223A47"/>
    <w:rsid w:val="0024017E"/>
    <w:rsid w:val="00255E2B"/>
    <w:rsid w:val="00280C2D"/>
    <w:rsid w:val="0029358F"/>
    <w:rsid w:val="002B575B"/>
    <w:rsid w:val="002C70F2"/>
    <w:rsid w:val="002D7E02"/>
    <w:rsid w:val="002E2763"/>
    <w:rsid w:val="002E4B52"/>
    <w:rsid w:val="003014A8"/>
    <w:rsid w:val="00313BE2"/>
    <w:rsid w:val="00320B8C"/>
    <w:rsid w:val="00332D10"/>
    <w:rsid w:val="003A1B5B"/>
    <w:rsid w:val="003D2F2C"/>
    <w:rsid w:val="003D35C1"/>
    <w:rsid w:val="00427B18"/>
    <w:rsid w:val="00433EA3"/>
    <w:rsid w:val="004B0526"/>
    <w:rsid w:val="004B268F"/>
    <w:rsid w:val="004C68C4"/>
    <w:rsid w:val="004D33A0"/>
    <w:rsid w:val="004F0ACE"/>
    <w:rsid w:val="004F432E"/>
    <w:rsid w:val="005475C3"/>
    <w:rsid w:val="00555271"/>
    <w:rsid w:val="0055558A"/>
    <w:rsid w:val="005646F1"/>
    <w:rsid w:val="00571519"/>
    <w:rsid w:val="00591E38"/>
    <w:rsid w:val="005F2670"/>
    <w:rsid w:val="005F732F"/>
    <w:rsid w:val="006471D8"/>
    <w:rsid w:val="0065545B"/>
    <w:rsid w:val="00680728"/>
    <w:rsid w:val="006A215E"/>
    <w:rsid w:val="006B2481"/>
    <w:rsid w:val="00721842"/>
    <w:rsid w:val="00754FD3"/>
    <w:rsid w:val="0076023A"/>
    <w:rsid w:val="007B3C82"/>
    <w:rsid w:val="007B5AAE"/>
    <w:rsid w:val="007D4134"/>
    <w:rsid w:val="007D696B"/>
    <w:rsid w:val="007F38BA"/>
    <w:rsid w:val="00834130"/>
    <w:rsid w:val="00842036"/>
    <w:rsid w:val="00881F95"/>
    <w:rsid w:val="00895B9E"/>
    <w:rsid w:val="008A3133"/>
    <w:rsid w:val="008B52A1"/>
    <w:rsid w:val="008D364E"/>
    <w:rsid w:val="009207DE"/>
    <w:rsid w:val="00920B35"/>
    <w:rsid w:val="009211E8"/>
    <w:rsid w:val="00934F3A"/>
    <w:rsid w:val="00936F5E"/>
    <w:rsid w:val="009374CD"/>
    <w:rsid w:val="00941F88"/>
    <w:rsid w:val="009A4D91"/>
    <w:rsid w:val="009B6458"/>
    <w:rsid w:val="009C4623"/>
    <w:rsid w:val="009F1BC2"/>
    <w:rsid w:val="009F35E9"/>
    <w:rsid w:val="009F4B6A"/>
    <w:rsid w:val="00A96BF9"/>
    <w:rsid w:val="00AA099C"/>
    <w:rsid w:val="00AC3199"/>
    <w:rsid w:val="00AC5D82"/>
    <w:rsid w:val="00B24021"/>
    <w:rsid w:val="00B27B60"/>
    <w:rsid w:val="00B627D6"/>
    <w:rsid w:val="00B71A7C"/>
    <w:rsid w:val="00BA59F6"/>
    <w:rsid w:val="00BC5B26"/>
    <w:rsid w:val="00BD6EAC"/>
    <w:rsid w:val="00C958B1"/>
    <w:rsid w:val="00CA36CB"/>
    <w:rsid w:val="00CB4040"/>
    <w:rsid w:val="00CE2D81"/>
    <w:rsid w:val="00D26285"/>
    <w:rsid w:val="00D45827"/>
    <w:rsid w:val="00D87F02"/>
    <w:rsid w:val="00D97754"/>
    <w:rsid w:val="00DB33F1"/>
    <w:rsid w:val="00DD69A3"/>
    <w:rsid w:val="00DF4403"/>
    <w:rsid w:val="00E2258B"/>
    <w:rsid w:val="00E37B29"/>
    <w:rsid w:val="00E5533C"/>
    <w:rsid w:val="00E678F6"/>
    <w:rsid w:val="00E80889"/>
    <w:rsid w:val="00E84108"/>
    <w:rsid w:val="00E90BEE"/>
    <w:rsid w:val="00E95EB8"/>
    <w:rsid w:val="00EB0940"/>
    <w:rsid w:val="00EE24B7"/>
    <w:rsid w:val="00EF4CD8"/>
    <w:rsid w:val="00F01167"/>
    <w:rsid w:val="00F02D50"/>
    <w:rsid w:val="00F12561"/>
    <w:rsid w:val="00F12AE9"/>
    <w:rsid w:val="00F625F3"/>
    <w:rsid w:val="00F71181"/>
    <w:rsid w:val="00F73592"/>
    <w:rsid w:val="00F90D45"/>
    <w:rsid w:val="00FC100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1">
    <w:name w:val="heading 1"/>
    <w:basedOn w:val="a"/>
    <w:next w:val="a"/>
    <w:link w:val="10"/>
    <w:uiPriority w:val="1"/>
    <w:qFormat/>
    <w:rsid w:val="00564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1"/>
    <w:rsid w:val="00564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14A8"/>
  </w:style>
  <w:style w:type="paragraph" w:styleId="a8">
    <w:name w:val="Body Text"/>
    <w:basedOn w:val="a"/>
    <w:link w:val="a9"/>
    <w:uiPriority w:val="1"/>
    <w:semiHidden/>
    <w:unhideWhenUsed/>
    <w:qFormat/>
    <w:rsid w:val="003014A8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3014A8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3014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301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3014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s://internet.garant.ru/document/redirect/10900200/200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200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8916657/11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900200/20001" TargetMode="External"/><Relationship Id="rId10" Type="http://schemas.openxmlformats.org/officeDocument/2006/relationships/hyperlink" Target="https://internet.garant.ru/document/redirect/8916657/4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584C-54B4-431D-AF62-7DA87271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34</cp:revision>
  <cp:lastPrinted>2024-10-14T11:29:00Z</cp:lastPrinted>
  <dcterms:created xsi:type="dcterms:W3CDTF">2020-11-12T06:52:00Z</dcterms:created>
  <dcterms:modified xsi:type="dcterms:W3CDTF">2024-11-25T10:06:00Z</dcterms:modified>
</cp:coreProperties>
</file>